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4F5BBB12"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83"/>
        <w:gridCol w:w="4926"/>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4A91C7BE" w14:textId="426072A6" w:rsidR="00A160B2" w:rsidRDefault="008722E0" w:rsidP="006C3150">
            <w:pPr>
              <w:pStyle w:val="Heading1"/>
              <w:outlineLvl w:val="0"/>
            </w:pPr>
            <w:r>
              <w:t>Chief Officers’ Employment Panel</w:t>
            </w:r>
          </w:p>
          <w:p w14:paraId="55A88F66" w14:textId="64B24DEE" w:rsidR="00A160B2" w:rsidRPr="00A160B2" w:rsidRDefault="00A160B2" w:rsidP="006C3150">
            <w:pPr>
              <w:pStyle w:val="Heading1"/>
              <w:outlineLvl w:val="0"/>
              <w:rPr>
                <w:color w:val="0000FF"/>
                <w:szCs w:val="24"/>
              </w:rPr>
            </w:pP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2764A2B1" w:rsidR="00A160B2" w:rsidRDefault="0053008A" w:rsidP="006C3150">
            <w:pPr>
              <w:pStyle w:val="Infotext"/>
              <w:rPr>
                <w:rFonts w:cs="Arial"/>
              </w:rPr>
            </w:pPr>
            <w:r>
              <w:rPr>
                <w:rFonts w:cs="Arial"/>
              </w:rPr>
              <w:t xml:space="preserve">30 </w:t>
            </w:r>
            <w:r w:rsidR="008722E0">
              <w:rPr>
                <w:rFonts w:cs="Arial"/>
              </w:rPr>
              <w:t>March 2023</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26BD0C9C" w14:textId="5AC2241C" w:rsidR="00A160B2" w:rsidRDefault="008722E0" w:rsidP="006C3150">
            <w:pPr>
              <w:pStyle w:val="Infotext"/>
              <w:rPr>
                <w:rFonts w:cs="Arial"/>
              </w:rPr>
            </w:pPr>
            <w:r>
              <w:rPr>
                <w:rFonts w:cs="Arial"/>
              </w:rPr>
              <w:t xml:space="preserve">Recruitment of Director of Children Services and </w:t>
            </w:r>
            <w:r w:rsidR="00E83B86">
              <w:rPr>
                <w:rFonts w:cs="Arial"/>
              </w:rPr>
              <w:t xml:space="preserve">Director of </w:t>
            </w:r>
            <w:r w:rsidR="00BB7B57">
              <w:rPr>
                <w:rFonts w:cs="Arial"/>
              </w:rPr>
              <w:t xml:space="preserve">Corporate </w:t>
            </w:r>
            <w:r>
              <w:rPr>
                <w:rFonts w:cs="Arial"/>
              </w:rPr>
              <w:t>Resources &amp; Transformation</w:t>
            </w:r>
          </w:p>
          <w:p w14:paraId="5914456E" w14:textId="61D4408B" w:rsidR="008722E0" w:rsidRDefault="008722E0" w:rsidP="006C3150">
            <w:pPr>
              <w:pStyle w:val="Infotext"/>
              <w:rPr>
                <w:rFonts w:cs="Arial"/>
              </w:rPr>
            </w:pPr>
          </w:p>
        </w:tc>
      </w:tr>
      <w:tr w:rsidR="00A160B2"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63C5F91B" w14:textId="0E0E148A" w:rsidR="00A160B2" w:rsidRDefault="008722E0" w:rsidP="006C3150">
            <w:pPr>
              <w:pStyle w:val="Infotext"/>
              <w:rPr>
                <w:rFonts w:cs="Arial"/>
              </w:rPr>
            </w:pPr>
            <w:r>
              <w:rPr>
                <w:rFonts w:cs="Arial"/>
              </w:rPr>
              <w:t>Patrick Flaherty – Chief Executive</w:t>
            </w:r>
          </w:p>
          <w:p w14:paraId="3CF266C9" w14:textId="77777777" w:rsidR="00A160B2" w:rsidRDefault="00A160B2" w:rsidP="006C3150">
            <w:pPr>
              <w:pStyle w:val="Infotext"/>
              <w:rPr>
                <w:rFonts w:cs="Arial"/>
              </w:rPr>
            </w:pP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57D61F9A" w14:textId="795AFF28" w:rsidR="00A160B2" w:rsidRDefault="008722E0" w:rsidP="006C3150">
            <w:pPr>
              <w:pStyle w:val="Infotext"/>
              <w:rPr>
                <w:rFonts w:cs="Arial"/>
              </w:rPr>
            </w:pPr>
            <w:r>
              <w:rPr>
                <w:rFonts w:cs="Arial"/>
              </w:rPr>
              <w:t>Public</w:t>
            </w:r>
          </w:p>
          <w:p w14:paraId="4C873B59" w14:textId="77777777" w:rsidR="00A160B2" w:rsidRDefault="00A160B2" w:rsidP="006C3150">
            <w:pPr>
              <w:pStyle w:val="Infotext"/>
              <w:rPr>
                <w:rFonts w:cs="Arial"/>
              </w:rPr>
            </w:pPr>
          </w:p>
        </w:tc>
      </w:tr>
      <w:tr w:rsidR="00A160B2" w14:paraId="521D9222" w14:textId="77777777" w:rsidTr="006C3150">
        <w:tc>
          <w:tcPr>
            <w:tcW w:w="3456"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6CD568AC" w14:textId="78082191" w:rsidR="00A160B2" w:rsidRDefault="008722E0" w:rsidP="006C3150">
            <w:pPr>
              <w:pStyle w:val="Infotext"/>
            </w:pPr>
            <w:r>
              <w:rPr>
                <w:rFonts w:cs="Arial"/>
                <w:szCs w:val="24"/>
              </w:rPr>
              <w:t>All</w:t>
            </w:r>
          </w:p>
        </w:tc>
      </w:tr>
      <w:tr w:rsidR="00A160B2" w14:paraId="7C35C184" w14:textId="77777777" w:rsidTr="006C3150">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363C4EBB" w14:textId="77777777" w:rsidR="008722E0" w:rsidRPr="008722E0" w:rsidRDefault="008722E0" w:rsidP="008722E0">
            <w:pPr>
              <w:pStyle w:val="Infotext"/>
              <w:rPr>
                <w:szCs w:val="28"/>
              </w:rPr>
            </w:pPr>
            <w:r w:rsidRPr="008722E0">
              <w:rPr>
                <w:szCs w:val="28"/>
              </w:rPr>
              <w:t>Appendix 1 – Role Profile for the Director of Children Services</w:t>
            </w:r>
          </w:p>
          <w:p w14:paraId="42A52A75" w14:textId="77777777" w:rsidR="008722E0" w:rsidRPr="008722E0" w:rsidRDefault="008722E0" w:rsidP="008722E0">
            <w:pPr>
              <w:pStyle w:val="Infotext"/>
              <w:rPr>
                <w:szCs w:val="28"/>
              </w:rPr>
            </w:pPr>
          </w:p>
          <w:p w14:paraId="1B07609D" w14:textId="08EB2196" w:rsidR="00A160B2" w:rsidRDefault="008722E0" w:rsidP="008722E0">
            <w:pPr>
              <w:pStyle w:val="Infotext"/>
              <w:rPr>
                <w:szCs w:val="28"/>
              </w:rPr>
            </w:pPr>
            <w:r w:rsidRPr="008722E0">
              <w:rPr>
                <w:szCs w:val="28"/>
              </w:rPr>
              <w:t xml:space="preserve">Appendix 2 – Role Profile for </w:t>
            </w:r>
            <w:r w:rsidR="004939A4" w:rsidRPr="008722E0">
              <w:rPr>
                <w:szCs w:val="28"/>
              </w:rPr>
              <w:t>the Director</w:t>
            </w:r>
            <w:r w:rsidR="00E83B86">
              <w:rPr>
                <w:szCs w:val="28"/>
              </w:rPr>
              <w:t xml:space="preserve"> of</w:t>
            </w:r>
            <w:r w:rsidR="00BB7B57">
              <w:rPr>
                <w:szCs w:val="28"/>
              </w:rPr>
              <w:t xml:space="preserve"> Corporate</w:t>
            </w:r>
            <w:r w:rsidR="00E83B86">
              <w:rPr>
                <w:szCs w:val="28"/>
              </w:rPr>
              <w:t xml:space="preserve"> </w:t>
            </w:r>
            <w:r w:rsidRPr="008722E0">
              <w:rPr>
                <w:szCs w:val="28"/>
              </w:rPr>
              <w:t>Resources and Transformation</w:t>
            </w:r>
          </w:p>
          <w:p w14:paraId="221F6E55" w14:textId="77777777" w:rsidR="00BB7B57" w:rsidRDefault="00BB7B57" w:rsidP="008722E0">
            <w:pPr>
              <w:pStyle w:val="Infotext"/>
            </w:pPr>
          </w:p>
          <w:p w14:paraId="4C232B02" w14:textId="7DC859E0" w:rsidR="00BB7B57" w:rsidRDefault="00BB7B57" w:rsidP="008722E0">
            <w:pPr>
              <w:pStyle w:val="Infotext"/>
            </w:pPr>
            <w:r>
              <w:t xml:space="preserve">Appendix 3 – Structure Chart </w:t>
            </w:r>
          </w:p>
        </w:tc>
      </w:tr>
      <w:tr w:rsidR="00A160B2"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006C3150">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p w14:paraId="346FFFA7" w14:textId="77777777" w:rsidR="00A160B2" w:rsidRDefault="00A160B2" w:rsidP="00A160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6C3150">
        <w:trPr>
          <w:tblHeader/>
        </w:trPr>
        <w:tc>
          <w:tcPr>
            <w:tcW w:w="8525"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6C3150">
        <w:trPr>
          <w:tblHeader/>
        </w:trPr>
        <w:tc>
          <w:tcPr>
            <w:tcW w:w="8525" w:type="dxa"/>
            <w:tcBorders>
              <w:left w:val="nil"/>
              <w:bottom w:val="nil"/>
              <w:right w:val="nil"/>
            </w:tcBorders>
          </w:tcPr>
          <w:p w14:paraId="61215735" w14:textId="64E24F05" w:rsidR="008722E0" w:rsidRDefault="008722E0" w:rsidP="008722E0">
            <w:pPr>
              <w:jc w:val="both"/>
            </w:pPr>
            <w:r w:rsidRPr="00CD040F">
              <w:t>This report</w:t>
            </w:r>
            <w:r>
              <w:t xml:space="preserve"> reviews the senior management positions in Resources and proposes the creation of a new post and </w:t>
            </w:r>
            <w:r w:rsidR="0053008A">
              <w:t xml:space="preserve">seeks </w:t>
            </w:r>
            <w:r>
              <w:t xml:space="preserve">approval of </w:t>
            </w:r>
            <w:r w:rsidR="0053008A">
              <w:t xml:space="preserve">the </w:t>
            </w:r>
            <w:r>
              <w:t>associated remuneration package</w:t>
            </w:r>
            <w:r w:rsidR="0053008A">
              <w:t>. It also seeks approval to</w:t>
            </w:r>
            <w:r>
              <w:t xml:space="preserve"> the recruitment to a vacancy in the People Services Directorate </w:t>
            </w:r>
            <w:r w:rsidR="0053008A">
              <w:t xml:space="preserve">and </w:t>
            </w:r>
            <w:r>
              <w:t>interim arrangements as may be necessary.</w:t>
            </w:r>
          </w:p>
          <w:p w14:paraId="2C9E4A81" w14:textId="77777777" w:rsidR="00A160B2" w:rsidRDefault="00A160B2" w:rsidP="00A160B2">
            <w:pPr>
              <w:rPr>
                <w:rFonts w:ascii="Arial Bold" w:hAnsi="Arial Bold"/>
                <w:b/>
                <w:sz w:val="28"/>
              </w:rPr>
            </w:pPr>
          </w:p>
          <w:p w14:paraId="4F9D0A08" w14:textId="48EA37E2" w:rsidR="00A160B2" w:rsidRDefault="00A160B2" w:rsidP="00A160B2">
            <w:pPr>
              <w:rPr>
                <w:rFonts w:ascii="Arial Bold" w:hAnsi="Arial Bold"/>
                <w:b/>
                <w:sz w:val="28"/>
              </w:rPr>
            </w:pPr>
            <w:r w:rsidRPr="00A160B2">
              <w:rPr>
                <w:rFonts w:ascii="Arial Bold" w:hAnsi="Arial Bold"/>
                <w:b/>
                <w:sz w:val="28"/>
              </w:rPr>
              <w:t xml:space="preserve">Recommendations: </w:t>
            </w:r>
          </w:p>
          <w:p w14:paraId="5C6EC06D" w14:textId="77777777" w:rsidR="008722E0" w:rsidRPr="00A160B2" w:rsidRDefault="008722E0" w:rsidP="00A160B2">
            <w:pPr>
              <w:rPr>
                <w:rFonts w:ascii="Arial Bold" w:hAnsi="Arial Bold"/>
                <w:b/>
                <w:sz w:val="28"/>
              </w:rPr>
            </w:pPr>
          </w:p>
          <w:p w14:paraId="51DE580A" w14:textId="632C6D6A" w:rsidR="008722E0" w:rsidRDefault="00A160B2" w:rsidP="008722E0">
            <w:r>
              <w:t>The Panel is requested to:</w:t>
            </w:r>
          </w:p>
          <w:p w14:paraId="3A6E66CE" w14:textId="77777777" w:rsidR="008722E0" w:rsidRDefault="008722E0" w:rsidP="008722E0"/>
          <w:p w14:paraId="29DC60B0" w14:textId="0BC53E21" w:rsidR="008722E0" w:rsidRDefault="008722E0" w:rsidP="008722E0">
            <w:pPr>
              <w:pStyle w:val="ListParagraph"/>
              <w:numPr>
                <w:ilvl w:val="0"/>
                <w:numId w:val="19"/>
              </w:numPr>
              <w:jc w:val="both"/>
              <w:rPr>
                <w:sz w:val="24"/>
                <w:szCs w:val="24"/>
              </w:rPr>
            </w:pPr>
            <w:r w:rsidRPr="00A5332F">
              <w:rPr>
                <w:sz w:val="24"/>
                <w:szCs w:val="24"/>
              </w:rPr>
              <w:t xml:space="preserve">Approve the recruitment for the </w:t>
            </w:r>
            <w:r>
              <w:rPr>
                <w:sz w:val="24"/>
                <w:szCs w:val="24"/>
              </w:rPr>
              <w:t xml:space="preserve">statutory </w:t>
            </w:r>
            <w:r w:rsidRPr="00A5332F">
              <w:rPr>
                <w:sz w:val="24"/>
                <w:szCs w:val="24"/>
              </w:rPr>
              <w:t xml:space="preserve">post of Director of Children Services </w:t>
            </w:r>
            <w:r>
              <w:rPr>
                <w:sz w:val="24"/>
                <w:szCs w:val="24"/>
              </w:rPr>
              <w:t>– D3</w:t>
            </w:r>
            <w:r w:rsidR="003367A7">
              <w:rPr>
                <w:sz w:val="24"/>
                <w:szCs w:val="24"/>
              </w:rPr>
              <w:t>.</w:t>
            </w:r>
          </w:p>
          <w:p w14:paraId="5B38A26E" w14:textId="77777777" w:rsidR="003367A7" w:rsidRDefault="003367A7" w:rsidP="00AA0407">
            <w:pPr>
              <w:pStyle w:val="ListParagraph"/>
              <w:jc w:val="both"/>
              <w:rPr>
                <w:sz w:val="24"/>
                <w:szCs w:val="24"/>
              </w:rPr>
            </w:pPr>
          </w:p>
          <w:p w14:paraId="3126B214" w14:textId="2821BCB5" w:rsidR="00512BD9" w:rsidRDefault="003367A7" w:rsidP="008722E0">
            <w:pPr>
              <w:pStyle w:val="ListParagraph"/>
              <w:numPr>
                <w:ilvl w:val="0"/>
                <w:numId w:val="19"/>
              </w:numPr>
              <w:jc w:val="both"/>
              <w:rPr>
                <w:sz w:val="24"/>
                <w:szCs w:val="24"/>
              </w:rPr>
            </w:pPr>
            <w:r>
              <w:rPr>
                <w:sz w:val="24"/>
                <w:szCs w:val="24"/>
              </w:rPr>
              <w:t>Agree that if an Interim Director of Children’s Services is required to cover this statutory post, suitable internal candidates be invited to apply and attend an interview by the Panel.</w:t>
            </w:r>
          </w:p>
          <w:p w14:paraId="591B4949" w14:textId="77777777" w:rsidR="008722E0" w:rsidRPr="00AA0407" w:rsidRDefault="008722E0" w:rsidP="00AA0407">
            <w:pPr>
              <w:rPr>
                <w:szCs w:val="32"/>
              </w:rPr>
            </w:pPr>
          </w:p>
          <w:p w14:paraId="2E79ECE3" w14:textId="29BAA2F0" w:rsidR="008722E0" w:rsidRDefault="008722E0" w:rsidP="008722E0">
            <w:pPr>
              <w:pStyle w:val="ListParagraph"/>
              <w:numPr>
                <w:ilvl w:val="0"/>
                <w:numId w:val="19"/>
              </w:numPr>
              <w:jc w:val="both"/>
              <w:rPr>
                <w:sz w:val="24"/>
                <w:szCs w:val="24"/>
              </w:rPr>
            </w:pPr>
            <w:r w:rsidRPr="00A5332F">
              <w:rPr>
                <w:sz w:val="24"/>
                <w:szCs w:val="24"/>
              </w:rPr>
              <w:t xml:space="preserve">Approve the role profile, salary package and recruitment process for the post of the Director of </w:t>
            </w:r>
            <w:r w:rsidR="00BB7B57">
              <w:rPr>
                <w:sz w:val="24"/>
                <w:szCs w:val="24"/>
              </w:rPr>
              <w:t xml:space="preserve">Corporate </w:t>
            </w:r>
            <w:r w:rsidRPr="00A5332F">
              <w:rPr>
                <w:sz w:val="24"/>
                <w:szCs w:val="24"/>
              </w:rPr>
              <w:t xml:space="preserve">Resources and Transformation - D3 with </w:t>
            </w:r>
            <w:r w:rsidR="0053008A">
              <w:rPr>
                <w:sz w:val="24"/>
                <w:szCs w:val="24"/>
              </w:rPr>
              <w:t xml:space="preserve">a </w:t>
            </w:r>
            <w:r w:rsidRPr="00A5332F">
              <w:rPr>
                <w:sz w:val="24"/>
                <w:szCs w:val="24"/>
              </w:rPr>
              <w:t>salary package of £127,698 - £140,652</w:t>
            </w:r>
            <w:r>
              <w:rPr>
                <w:sz w:val="24"/>
                <w:szCs w:val="24"/>
              </w:rPr>
              <w:t>.</w:t>
            </w:r>
          </w:p>
          <w:p w14:paraId="16817AD6" w14:textId="77777777" w:rsidR="008722E0" w:rsidRPr="00D97690" w:rsidRDefault="008722E0" w:rsidP="008722E0">
            <w:pPr>
              <w:pStyle w:val="ListParagraph"/>
              <w:rPr>
                <w:sz w:val="24"/>
                <w:szCs w:val="24"/>
              </w:rPr>
            </w:pPr>
          </w:p>
          <w:p w14:paraId="00522A54" w14:textId="7C43CF31" w:rsidR="008722E0" w:rsidRDefault="008722E0" w:rsidP="008722E0">
            <w:pPr>
              <w:pStyle w:val="ListParagraph"/>
              <w:numPr>
                <w:ilvl w:val="0"/>
                <w:numId w:val="19"/>
              </w:numPr>
              <w:jc w:val="both"/>
              <w:rPr>
                <w:sz w:val="24"/>
                <w:szCs w:val="24"/>
              </w:rPr>
            </w:pPr>
            <w:r>
              <w:rPr>
                <w:sz w:val="24"/>
                <w:szCs w:val="24"/>
              </w:rPr>
              <w:t xml:space="preserve">Approve the appointment of a search agency to support the recruitment to both </w:t>
            </w:r>
            <w:r w:rsidR="0053008A">
              <w:rPr>
                <w:sz w:val="24"/>
                <w:szCs w:val="24"/>
              </w:rPr>
              <w:t>the Director of Children Services</w:t>
            </w:r>
            <w:r w:rsidR="00512BD9">
              <w:rPr>
                <w:sz w:val="24"/>
                <w:szCs w:val="24"/>
              </w:rPr>
              <w:t>, Interim Director of Children Services (if required)</w:t>
            </w:r>
            <w:r w:rsidR="0053008A">
              <w:rPr>
                <w:sz w:val="24"/>
                <w:szCs w:val="24"/>
              </w:rPr>
              <w:t xml:space="preserve"> and Director of </w:t>
            </w:r>
            <w:r w:rsidR="00BB7B57">
              <w:rPr>
                <w:sz w:val="24"/>
                <w:szCs w:val="24"/>
              </w:rPr>
              <w:t xml:space="preserve">Corporate </w:t>
            </w:r>
            <w:r w:rsidR="0053008A">
              <w:rPr>
                <w:sz w:val="24"/>
                <w:szCs w:val="24"/>
              </w:rPr>
              <w:t>Resources and Transformation</w:t>
            </w:r>
            <w:r w:rsidR="003B0130">
              <w:rPr>
                <w:sz w:val="24"/>
                <w:szCs w:val="24"/>
              </w:rPr>
              <w:t>.</w:t>
            </w:r>
            <w:r>
              <w:rPr>
                <w:sz w:val="24"/>
                <w:szCs w:val="24"/>
              </w:rPr>
              <w:t xml:space="preserve">  </w:t>
            </w:r>
          </w:p>
          <w:p w14:paraId="714CBDEE" w14:textId="2A6CE42A" w:rsidR="008722E0" w:rsidRPr="008722E0" w:rsidRDefault="008722E0" w:rsidP="008722E0">
            <w:pPr>
              <w:pStyle w:val="ListParagraph"/>
              <w:jc w:val="both"/>
              <w:rPr>
                <w:sz w:val="24"/>
                <w:szCs w:val="32"/>
              </w:rPr>
            </w:pPr>
          </w:p>
        </w:tc>
      </w:tr>
    </w:tbl>
    <w:p w14:paraId="53DC7DE2" w14:textId="77777777" w:rsidR="002A2389" w:rsidRDefault="002A2389" w:rsidP="00A160B2">
      <w:pPr>
        <w:pStyle w:val="Heading2"/>
      </w:pPr>
      <w:r>
        <w:t>Section 2 – Report</w:t>
      </w:r>
    </w:p>
    <w:p w14:paraId="786FDFF7" w14:textId="77777777" w:rsidR="008722E0" w:rsidRDefault="008722E0" w:rsidP="008722E0">
      <w:pPr>
        <w:rPr>
          <w:b/>
          <w:bCs/>
          <w:szCs w:val="24"/>
        </w:rPr>
      </w:pPr>
    </w:p>
    <w:p w14:paraId="5EC98243" w14:textId="66C39674" w:rsidR="008722E0" w:rsidRPr="008722E0" w:rsidRDefault="008722E0" w:rsidP="008722E0">
      <w:pPr>
        <w:rPr>
          <w:b/>
          <w:bCs/>
          <w:szCs w:val="24"/>
        </w:rPr>
      </w:pPr>
      <w:r w:rsidRPr="008722E0">
        <w:rPr>
          <w:b/>
          <w:bCs/>
          <w:szCs w:val="24"/>
        </w:rPr>
        <w:t xml:space="preserve">Director of Children Services </w:t>
      </w:r>
    </w:p>
    <w:p w14:paraId="73971F00" w14:textId="77777777" w:rsidR="008722E0" w:rsidRDefault="008722E0" w:rsidP="008722E0"/>
    <w:p w14:paraId="078D3AF7" w14:textId="77777777" w:rsidR="008722E0" w:rsidRDefault="008722E0" w:rsidP="008722E0">
      <w:pPr>
        <w:jc w:val="both"/>
      </w:pPr>
      <w:r>
        <w:t xml:space="preserve">The Director of Children Services (Grade D3) is a Statutory Chief Officer post and has been fulfilled since June 2022 by Peter Tolley. The current postholder, has indicated that he will retire at the end of May 2023. The Director of Children Services (DCS) post holds significant statutory responsibilities in how the Council look after Harrow’s children and forms an integral link with our partners such as schools. </w:t>
      </w:r>
    </w:p>
    <w:p w14:paraId="501BC1DD" w14:textId="77777777" w:rsidR="008722E0" w:rsidRDefault="008722E0" w:rsidP="008722E0">
      <w:pPr>
        <w:jc w:val="both"/>
      </w:pPr>
    </w:p>
    <w:p w14:paraId="53E91499" w14:textId="77777777" w:rsidR="008722E0" w:rsidRDefault="008722E0" w:rsidP="008722E0">
      <w:pPr>
        <w:jc w:val="both"/>
      </w:pPr>
      <w:r>
        <w:t xml:space="preserve">It is proposed that any suitable qualified internal and external candidates be invited to apply for this post via the search agency appointed to carry out the recruitment. Upon receipt of candidate applications, a further meeting of this Panel will be held to shortlist, interview the candidates, and decide whether to make an appointment. </w:t>
      </w:r>
    </w:p>
    <w:p w14:paraId="2FC81F34" w14:textId="77777777" w:rsidR="008722E0" w:rsidRDefault="008722E0" w:rsidP="008722E0">
      <w:pPr>
        <w:jc w:val="both"/>
      </w:pPr>
    </w:p>
    <w:p w14:paraId="2B61DDC4" w14:textId="6D50BDCC" w:rsidR="008722E0" w:rsidRDefault="008722E0" w:rsidP="008722E0">
      <w:pPr>
        <w:jc w:val="both"/>
        <w:rPr>
          <w:szCs w:val="24"/>
        </w:rPr>
      </w:pPr>
      <w:r>
        <w:t xml:space="preserve">In the event that an interim postholder is needed </w:t>
      </w:r>
      <w:r w:rsidR="00FD4EB4">
        <w:t xml:space="preserve">to cover this statutory post </w:t>
      </w:r>
      <w:r>
        <w:t xml:space="preserve">between the </w:t>
      </w:r>
      <w:r>
        <w:rPr>
          <w:szCs w:val="24"/>
        </w:rPr>
        <w:t xml:space="preserve">departure of current postholder and the start date of the appointed candidate, it is proposed that suitable internal candidates be invited to apply by </w:t>
      </w:r>
      <w:r>
        <w:rPr>
          <w:szCs w:val="24"/>
        </w:rPr>
        <w:lastRenderedPageBreak/>
        <w:t xml:space="preserve">way of supporting statement and CV. The </w:t>
      </w:r>
      <w:r w:rsidR="00FD4EB4">
        <w:rPr>
          <w:szCs w:val="24"/>
        </w:rPr>
        <w:t>Panel</w:t>
      </w:r>
      <w:r>
        <w:rPr>
          <w:szCs w:val="24"/>
        </w:rPr>
        <w:t xml:space="preserve"> will then interview those internal candidates and appoint.</w:t>
      </w:r>
    </w:p>
    <w:p w14:paraId="648573CE" w14:textId="77777777" w:rsidR="008722E0" w:rsidRDefault="008722E0" w:rsidP="008722E0">
      <w:pPr>
        <w:jc w:val="both"/>
        <w:rPr>
          <w:szCs w:val="24"/>
        </w:rPr>
      </w:pPr>
    </w:p>
    <w:p w14:paraId="6EB88A3D" w14:textId="54AC74E4" w:rsidR="008722E0" w:rsidRDefault="008722E0" w:rsidP="008722E0">
      <w:pPr>
        <w:jc w:val="both"/>
        <w:rPr>
          <w:szCs w:val="24"/>
        </w:rPr>
      </w:pPr>
    </w:p>
    <w:p w14:paraId="389C2F49" w14:textId="70D61180" w:rsidR="008722E0" w:rsidRPr="008722E0" w:rsidRDefault="00E83B86" w:rsidP="008722E0">
      <w:pPr>
        <w:rPr>
          <w:b/>
          <w:bCs/>
          <w:szCs w:val="28"/>
        </w:rPr>
      </w:pPr>
      <w:r>
        <w:rPr>
          <w:b/>
          <w:bCs/>
          <w:szCs w:val="28"/>
        </w:rPr>
        <w:t xml:space="preserve">Director of </w:t>
      </w:r>
      <w:r w:rsidR="00BB7B57">
        <w:rPr>
          <w:b/>
          <w:bCs/>
          <w:szCs w:val="28"/>
        </w:rPr>
        <w:t xml:space="preserve">Corporate </w:t>
      </w:r>
      <w:r w:rsidR="008722E0" w:rsidRPr="008722E0">
        <w:rPr>
          <w:b/>
          <w:bCs/>
          <w:szCs w:val="28"/>
        </w:rPr>
        <w:t>Resources and Transformation</w:t>
      </w:r>
    </w:p>
    <w:p w14:paraId="5ACED75D" w14:textId="77777777" w:rsidR="008722E0" w:rsidRPr="00B97B97" w:rsidRDefault="008722E0" w:rsidP="008722E0">
      <w:pPr>
        <w:rPr>
          <w:szCs w:val="24"/>
        </w:rPr>
      </w:pPr>
    </w:p>
    <w:p w14:paraId="4C28EE70" w14:textId="5F6A5F4C" w:rsidR="008722E0" w:rsidRPr="00B97B97" w:rsidRDefault="008722E0" w:rsidP="008722E0">
      <w:pPr>
        <w:jc w:val="both"/>
        <w:rPr>
          <w:szCs w:val="24"/>
        </w:rPr>
      </w:pPr>
      <w:r w:rsidRPr="00B97B97">
        <w:rPr>
          <w:szCs w:val="24"/>
        </w:rPr>
        <w:t>The Director of Corporate Resources &amp; Transformation (Grade D3) role is newly created to reflect the current Directorate of Resources structure</w:t>
      </w:r>
      <w:r>
        <w:rPr>
          <w:szCs w:val="24"/>
        </w:rPr>
        <w:t xml:space="preserve"> and</w:t>
      </w:r>
      <w:r w:rsidRPr="00B97B97">
        <w:rPr>
          <w:szCs w:val="24"/>
        </w:rPr>
        <w:t xml:space="preserve"> </w:t>
      </w:r>
    </w:p>
    <w:p w14:paraId="59502EDB" w14:textId="77777777" w:rsidR="008722E0" w:rsidRPr="00B97B97" w:rsidRDefault="008722E0" w:rsidP="008722E0">
      <w:pPr>
        <w:jc w:val="both"/>
        <w:rPr>
          <w:szCs w:val="24"/>
        </w:rPr>
      </w:pPr>
      <w:r w:rsidRPr="00B97B97">
        <w:rPr>
          <w:szCs w:val="24"/>
        </w:rPr>
        <w:t xml:space="preserve">is a non-statutory Chief Officer post. </w:t>
      </w:r>
    </w:p>
    <w:p w14:paraId="74225E2C" w14:textId="77777777" w:rsidR="008722E0" w:rsidRPr="00B97B97" w:rsidRDefault="008722E0" w:rsidP="008722E0">
      <w:pPr>
        <w:jc w:val="both"/>
        <w:rPr>
          <w:szCs w:val="24"/>
        </w:rPr>
      </w:pPr>
    </w:p>
    <w:p w14:paraId="6583BD49" w14:textId="77777777" w:rsidR="008722E0" w:rsidRPr="00B97B97" w:rsidRDefault="008722E0" w:rsidP="008722E0">
      <w:pPr>
        <w:jc w:val="both"/>
        <w:rPr>
          <w:szCs w:val="24"/>
        </w:rPr>
      </w:pPr>
      <w:r w:rsidRPr="00B97B97">
        <w:rPr>
          <w:szCs w:val="24"/>
        </w:rPr>
        <w:t>Under the new structure, this postholder will be responsible for Customer Service, IT, Communications, Human Resources and Organisational Development, Strategy and Performance and Transformation. This role</w:t>
      </w:r>
      <w:r>
        <w:rPr>
          <w:szCs w:val="24"/>
        </w:rPr>
        <w:t xml:space="preserve"> will</w:t>
      </w:r>
      <w:r w:rsidRPr="00B97B97">
        <w:rPr>
          <w:szCs w:val="24"/>
        </w:rPr>
        <w:t xml:space="preserve"> form</w:t>
      </w:r>
      <w:r>
        <w:rPr>
          <w:szCs w:val="24"/>
        </w:rPr>
        <w:t xml:space="preserve"> a</w:t>
      </w:r>
      <w:r w:rsidRPr="00B97B97">
        <w:rPr>
          <w:szCs w:val="24"/>
        </w:rPr>
        <w:t xml:space="preserve"> part of the key senior management team at the Council with a clear focus to deliver projects to improve services for residents and identify internal efficiencies. </w:t>
      </w:r>
    </w:p>
    <w:p w14:paraId="0A018ABD" w14:textId="77777777" w:rsidR="008722E0" w:rsidRPr="00B97B97" w:rsidRDefault="008722E0" w:rsidP="008722E0">
      <w:pPr>
        <w:jc w:val="both"/>
        <w:rPr>
          <w:szCs w:val="24"/>
        </w:rPr>
      </w:pPr>
    </w:p>
    <w:p w14:paraId="783439BE" w14:textId="77777777" w:rsidR="008722E0" w:rsidRDefault="008722E0" w:rsidP="008722E0">
      <w:pPr>
        <w:jc w:val="both"/>
      </w:pPr>
      <w:r>
        <w:t xml:space="preserve">It is proposed that any suitable qualified internal and external candidates be invited to apply for this post via the search agency appointed to carry out the recruitment. Upon receipt of candidate applications, a further meeting of this Panel will be convened to shortlist and interview the candidates and make an appointment. </w:t>
      </w:r>
    </w:p>
    <w:p w14:paraId="1644AC5A" w14:textId="77777777" w:rsidR="008722E0" w:rsidRDefault="008722E0" w:rsidP="008722E0">
      <w:pPr>
        <w:rPr>
          <w:rFonts w:ascii="Arial Bold" w:hAnsi="Arial Bold"/>
          <w:b/>
          <w:color w:val="0000FF"/>
          <w:sz w:val="28"/>
        </w:rPr>
      </w:pPr>
    </w:p>
    <w:p w14:paraId="3469E0D9" w14:textId="77777777" w:rsidR="00213BE7" w:rsidRDefault="00213BE7" w:rsidP="00213BE7">
      <w:pPr>
        <w:pStyle w:val="Heading2"/>
      </w:pPr>
      <w:r>
        <w:t>Legal Implications</w:t>
      </w:r>
    </w:p>
    <w:p w14:paraId="0BC28D81" w14:textId="4D57C00F" w:rsidR="003D2FFE" w:rsidRPr="00BA7171" w:rsidRDefault="00BA7171" w:rsidP="000A6659">
      <w:pPr>
        <w:pStyle w:val="Heading4"/>
        <w:rPr>
          <w:b w:val="0"/>
          <w:sz w:val="24"/>
          <w:szCs w:val="24"/>
        </w:rPr>
      </w:pPr>
      <w:r w:rsidRPr="00BA7171">
        <w:rPr>
          <w:b w:val="0"/>
          <w:sz w:val="24"/>
          <w:szCs w:val="24"/>
        </w:rPr>
        <w:t xml:space="preserve">The Chief Officers’ Employment Panel has delegated powers to: </w:t>
      </w:r>
    </w:p>
    <w:p w14:paraId="3A6FE9B3" w14:textId="5BDEAED7" w:rsidR="00BA7171" w:rsidRPr="00BA7171" w:rsidRDefault="00BA7171" w:rsidP="00BA7171">
      <w:pPr>
        <w:pStyle w:val="ListParagraph"/>
        <w:numPr>
          <w:ilvl w:val="0"/>
          <w:numId w:val="21"/>
        </w:numPr>
        <w:rPr>
          <w:sz w:val="24"/>
          <w:szCs w:val="24"/>
        </w:rPr>
      </w:pPr>
      <w:r w:rsidRPr="00BA7171">
        <w:rPr>
          <w:sz w:val="24"/>
          <w:szCs w:val="24"/>
        </w:rPr>
        <w:t>Approve remuneration packages of £100,000 or over for any Council post; and</w:t>
      </w:r>
    </w:p>
    <w:p w14:paraId="08E6455D" w14:textId="13AECCCF" w:rsidR="00BA7171" w:rsidRPr="00BA7171" w:rsidRDefault="00BA7171" w:rsidP="00BA7171">
      <w:pPr>
        <w:pStyle w:val="ListParagraph"/>
        <w:numPr>
          <w:ilvl w:val="0"/>
          <w:numId w:val="21"/>
        </w:numPr>
        <w:rPr>
          <w:sz w:val="24"/>
          <w:szCs w:val="24"/>
        </w:rPr>
      </w:pPr>
      <w:r w:rsidRPr="00BA7171">
        <w:rPr>
          <w:sz w:val="24"/>
          <w:szCs w:val="24"/>
        </w:rPr>
        <w:t>To appoint Chief Officers</w:t>
      </w:r>
      <w:r w:rsidR="0053008A">
        <w:rPr>
          <w:sz w:val="24"/>
          <w:szCs w:val="24"/>
        </w:rPr>
        <w:t>.</w:t>
      </w:r>
      <w:r w:rsidRPr="00BA7171">
        <w:rPr>
          <w:sz w:val="24"/>
          <w:szCs w:val="24"/>
        </w:rPr>
        <w:t xml:space="preserve"> </w:t>
      </w:r>
    </w:p>
    <w:p w14:paraId="41BB405D" w14:textId="77777777" w:rsidR="002A2389" w:rsidRDefault="002A2389" w:rsidP="003D2FFE">
      <w:pPr>
        <w:pStyle w:val="Heading2"/>
        <w:spacing w:after="240"/>
      </w:pPr>
      <w:r>
        <w:t>Financial Implications</w:t>
      </w:r>
    </w:p>
    <w:p w14:paraId="31FEC2B1" w14:textId="06F492F7" w:rsidR="00BA7171" w:rsidRDefault="00BA7171" w:rsidP="00BA7171">
      <w:pPr>
        <w:rPr>
          <w:szCs w:val="24"/>
        </w:rPr>
      </w:pPr>
      <w:r>
        <w:t xml:space="preserve">The Director of Children Services and Director of Corporate Resources </w:t>
      </w:r>
      <w:r w:rsidR="0053008A">
        <w:t xml:space="preserve">and Transformation </w:t>
      </w:r>
      <w:r>
        <w:t>are both graded D3</w:t>
      </w:r>
      <w:r w:rsidRPr="00A5332F">
        <w:rPr>
          <w:szCs w:val="24"/>
        </w:rPr>
        <w:t xml:space="preserve"> with salary packages of £127,698 - £140,652</w:t>
      </w:r>
      <w:r>
        <w:rPr>
          <w:szCs w:val="24"/>
        </w:rPr>
        <w:t>.</w:t>
      </w:r>
    </w:p>
    <w:p w14:paraId="157FCDB4" w14:textId="77777777" w:rsidR="00BA7171" w:rsidRDefault="00BA7171" w:rsidP="00BA7171">
      <w:pPr>
        <w:rPr>
          <w:szCs w:val="24"/>
        </w:rPr>
      </w:pPr>
    </w:p>
    <w:p w14:paraId="63033E37" w14:textId="547E71EF" w:rsidR="00BA7171" w:rsidRDefault="00BA7171" w:rsidP="00BA7171">
      <w:pPr>
        <w:ind w:left="720" w:hanging="720"/>
        <w:rPr>
          <w:szCs w:val="24"/>
        </w:rPr>
      </w:pPr>
      <w:r w:rsidRPr="00513E20">
        <w:rPr>
          <w:szCs w:val="24"/>
        </w:rPr>
        <w:t>Both positions are budgeted for and is part of the establishment.</w:t>
      </w:r>
      <w:r>
        <w:rPr>
          <w:szCs w:val="24"/>
        </w:rPr>
        <w:t xml:space="preserve">  </w:t>
      </w:r>
    </w:p>
    <w:p w14:paraId="5ACE80EE" w14:textId="77777777" w:rsidR="00C32DAE" w:rsidRPr="003D2FFE" w:rsidRDefault="00C32DAE" w:rsidP="003D2FFE">
      <w:pPr>
        <w:pStyle w:val="Heading2"/>
        <w:spacing w:after="240"/>
      </w:pPr>
      <w:r>
        <w:t>Risk Management Implications</w:t>
      </w:r>
    </w:p>
    <w:p w14:paraId="33541738" w14:textId="33BDCCC8"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val="en-US" w:eastAsia="en-GB"/>
        </w:rPr>
        <w:t>Risks included on corporate or directorate risk register? </w:t>
      </w:r>
      <w:r w:rsidRPr="00570F59">
        <w:rPr>
          <w:rFonts w:cs="Arial"/>
          <w:b/>
          <w:bCs/>
          <w:szCs w:val="24"/>
          <w:lang w:val="en-US" w:eastAsia="en-GB"/>
        </w:rPr>
        <w:t>No</w:t>
      </w:r>
      <w:r w:rsidRPr="00570F59">
        <w:rPr>
          <w:rFonts w:cs="Arial"/>
          <w:szCs w:val="24"/>
          <w:lang w:val="en-US" w:eastAsia="en-GB"/>
        </w:rPr>
        <w:t> </w:t>
      </w:r>
    </w:p>
    <w:p w14:paraId="3C0B834E" w14:textId="77777777" w:rsidR="00570F59" w:rsidRPr="00570F59" w:rsidRDefault="00570F59" w:rsidP="00570F59">
      <w:pPr>
        <w:ind w:left="-150" w:right="135"/>
        <w:textAlignment w:val="baseline"/>
        <w:rPr>
          <w:rFonts w:ascii="Segoe UI" w:hAnsi="Segoe UI" w:cs="Segoe UI"/>
          <w:sz w:val="18"/>
          <w:szCs w:val="18"/>
          <w:lang w:eastAsia="en-GB"/>
        </w:rPr>
      </w:pPr>
      <w:r w:rsidRPr="00570F59">
        <w:rPr>
          <w:rFonts w:cs="Arial"/>
          <w:szCs w:val="24"/>
          <w:lang w:val="en-US" w:eastAsia="en-GB"/>
        </w:rPr>
        <w:t>  </w:t>
      </w:r>
      <w:r w:rsidRPr="00570F59">
        <w:rPr>
          <w:rFonts w:cs="Arial"/>
          <w:szCs w:val="24"/>
          <w:lang w:eastAsia="en-GB"/>
        </w:rPr>
        <w:t> </w:t>
      </w:r>
    </w:p>
    <w:p w14:paraId="20B91783" w14:textId="1252060D" w:rsidR="00570F59" w:rsidRPr="00570F59" w:rsidRDefault="00570F59" w:rsidP="00570F59">
      <w:pPr>
        <w:ind w:left="-150" w:right="135" w:firstLine="135"/>
        <w:textAlignment w:val="baseline"/>
        <w:rPr>
          <w:rFonts w:ascii="Segoe UI" w:hAnsi="Segoe UI" w:cs="Segoe UI"/>
          <w:sz w:val="18"/>
          <w:szCs w:val="18"/>
          <w:lang w:eastAsia="en-GB"/>
        </w:rPr>
      </w:pPr>
      <w:r w:rsidRPr="00570F59">
        <w:rPr>
          <w:rFonts w:cs="Arial"/>
          <w:szCs w:val="24"/>
          <w:lang w:val="en-US" w:eastAsia="en-GB"/>
        </w:rPr>
        <w:t>Separate risk register in place? </w:t>
      </w:r>
      <w:r w:rsidRPr="00570F59">
        <w:rPr>
          <w:rFonts w:cs="Arial"/>
          <w:b/>
          <w:bCs/>
          <w:szCs w:val="24"/>
          <w:lang w:val="en-US" w:eastAsia="en-GB"/>
        </w:rPr>
        <w:t>No</w:t>
      </w:r>
    </w:p>
    <w:p w14:paraId="77C7BDB3" w14:textId="77777777" w:rsidR="00570F59" w:rsidRPr="00570F59" w:rsidRDefault="00570F59" w:rsidP="00570F59">
      <w:pPr>
        <w:ind w:left="555" w:right="75" w:hanging="555"/>
        <w:textAlignment w:val="baseline"/>
        <w:rPr>
          <w:rFonts w:ascii="Segoe UI" w:hAnsi="Segoe UI" w:cs="Segoe UI"/>
          <w:sz w:val="18"/>
          <w:szCs w:val="18"/>
          <w:lang w:eastAsia="en-GB"/>
        </w:rPr>
      </w:pPr>
      <w:r w:rsidRPr="00570F59">
        <w:rPr>
          <w:rFonts w:cs="Arial"/>
          <w:szCs w:val="24"/>
          <w:lang w:eastAsia="en-GB"/>
        </w:rPr>
        <w:t> </w:t>
      </w:r>
    </w:p>
    <w:p w14:paraId="44C5764F" w14:textId="5E53370B"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eastAsia="en-GB"/>
        </w:rPr>
        <w:t>The relevant risks contained in the register are attached/summarised below. </w:t>
      </w:r>
      <w:r w:rsidRPr="00570F59">
        <w:rPr>
          <w:rFonts w:cs="Arial"/>
          <w:b/>
          <w:bCs/>
          <w:szCs w:val="24"/>
          <w:lang w:val="en-US" w:eastAsia="en-GB"/>
        </w:rPr>
        <w:t>n/a </w:t>
      </w:r>
    </w:p>
    <w:p w14:paraId="66589F52" w14:textId="77777777" w:rsidR="00570F59" w:rsidRPr="00570F59" w:rsidRDefault="00570F59" w:rsidP="00570F59">
      <w:pPr>
        <w:textAlignment w:val="baseline"/>
        <w:rPr>
          <w:rFonts w:ascii="Segoe UI" w:hAnsi="Segoe UI" w:cs="Segoe UI"/>
          <w:sz w:val="18"/>
          <w:szCs w:val="18"/>
          <w:lang w:eastAsia="en-GB"/>
        </w:rPr>
      </w:pPr>
      <w:r w:rsidRPr="00570F59">
        <w:rPr>
          <w:rFonts w:cs="Arial"/>
          <w:szCs w:val="24"/>
          <w:lang w:eastAsia="en-GB"/>
        </w:rPr>
        <w:t> </w:t>
      </w:r>
    </w:p>
    <w:p w14:paraId="44D33D1F" w14:textId="77777777" w:rsidR="00FD31A0" w:rsidRDefault="00FD31A0" w:rsidP="003D2FFE">
      <w:pPr>
        <w:pStyle w:val="Heading2"/>
        <w:keepNext/>
        <w:spacing w:after="240"/>
      </w:pPr>
      <w:r w:rsidRPr="004A2543">
        <w:lastRenderedPageBreak/>
        <w:t>Equalities implications</w:t>
      </w:r>
      <w:r w:rsidR="00213BE7">
        <w:t xml:space="preserve"> / Public Sector Equality Duty </w:t>
      </w:r>
    </w:p>
    <w:p w14:paraId="76DCB596" w14:textId="79BA0296" w:rsidR="00FD31A0" w:rsidRPr="004A2543" w:rsidRDefault="00FD31A0" w:rsidP="00FD31A0">
      <w:r w:rsidRPr="004A2543">
        <w:t xml:space="preserve">Was an Equality Impact Assessment carried out?  </w:t>
      </w:r>
      <w:r>
        <w:t xml:space="preserve">No </w:t>
      </w:r>
    </w:p>
    <w:p w14:paraId="0C2F27D8" w14:textId="77777777" w:rsidR="00FD31A0" w:rsidRPr="004A2543" w:rsidRDefault="00FD31A0" w:rsidP="00FD31A0"/>
    <w:p w14:paraId="0E6F04F7" w14:textId="77777777" w:rsidR="00BA7171" w:rsidRDefault="00BA7171" w:rsidP="00BA7171"/>
    <w:p w14:paraId="29B60C18" w14:textId="312BE8F8" w:rsidR="00BA7171" w:rsidRPr="00BA7171" w:rsidRDefault="00BA7171" w:rsidP="00BA7171">
      <w:pPr>
        <w:pStyle w:val="ListParagraph"/>
        <w:numPr>
          <w:ilvl w:val="0"/>
          <w:numId w:val="23"/>
        </w:numPr>
        <w:rPr>
          <w:sz w:val="24"/>
          <w:szCs w:val="24"/>
        </w:rPr>
      </w:pPr>
      <w:r w:rsidRPr="00BA7171">
        <w:rPr>
          <w:sz w:val="24"/>
          <w:szCs w:val="24"/>
        </w:rPr>
        <w:t xml:space="preserve">The roles quoted in this report </w:t>
      </w:r>
      <w:r w:rsidR="007D7504">
        <w:rPr>
          <w:sz w:val="24"/>
          <w:szCs w:val="24"/>
        </w:rPr>
        <w:t>have</w:t>
      </w:r>
      <w:r w:rsidRPr="00BA7171">
        <w:rPr>
          <w:sz w:val="24"/>
          <w:szCs w:val="24"/>
        </w:rPr>
        <w:t xml:space="preserve"> a responsibility to deliver the Council’s vision and values by addressing inequalities faced by the residents of Harrow.</w:t>
      </w:r>
    </w:p>
    <w:p w14:paraId="47FAB2E9" w14:textId="77777777" w:rsidR="00BA7171" w:rsidRPr="00BA7171" w:rsidRDefault="00BA7171" w:rsidP="00BA7171">
      <w:pPr>
        <w:ind w:left="720" w:hanging="720"/>
        <w:rPr>
          <w:sz w:val="28"/>
          <w:szCs w:val="22"/>
        </w:rPr>
      </w:pPr>
    </w:p>
    <w:p w14:paraId="69680960" w14:textId="2346939D" w:rsidR="00570F59" w:rsidRDefault="00BA7171" w:rsidP="00811FA5">
      <w:pPr>
        <w:pStyle w:val="ListParagraph"/>
        <w:numPr>
          <w:ilvl w:val="0"/>
          <w:numId w:val="23"/>
        </w:numPr>
        <w:rPr>
          <w:sz w:val="24"/>
          <w:szCs w:val="24"/>
        </w:rPr>
      </w:pPr>
      <w:r w:rsidRPr="007D7504">
        <w:rPr>
          <w:sz w:val="24"/>
          <w:szCs w:val="24"/>
        </w:rPr>
        <w:t xml:space="preserve">The responsibility of </w:t>
      </w:r>
      <w:r w:rsidR="007D7504" w:rsidRPr="007D7504">
        <w:rPr>
          <w:sz w:val="24"/>
          <w:szCs w:val="24"/>
        </w:rPr>
        <w:t>these</w:t>
      </w:r>
      <w:r w:rsidR="007D7504" w:rsidRPr="004939A4">
        <w:rPr>
          <w:sz w:val="24"/>
          <w:szCs w:val="24"/>
        </w:rPr>
        <w:t xml:space="preserve"> </w:t>
      </w:r>
      <w:r w:rsidRPr="004939A4">
        <w:rPr>
          <w:sz w:val="24"/>
          <w:szCs w:val="24"/>
        </w:rPr>
        <w:t>role</w:t>
      </w:r>
      <w:r w:rsidR="007D7504" w:rsidRPr="004939A4">
        <w:rPr>
          <w:sz w:val="24"/>
          <w:szCs w:val="24"/>
        </w:rPr>
        <w:t>s</w:t>
      </w:r>
      <w:r w:rsidRPr="004939A4">
        <w:rPr>
          <w:sz w:val="24"/>
          <w:szCs w:val="24"/>
        </w:rPr>
        <w:t xml:space="preserve"> is to promote equality, diversity and inclusion and the reduction of inequalities ensuring that everyone can contribute through everyday actions to deliver the required health and wellbeing outcomes.</w:t>
      </w:r>
    </w:p>
    <w:p w14:paraId="197F3AC1" w14:textId="77777777" w:rsidR="005C578E" w:rsidRPr="005C578E" w:rsidRDefault="005C578E" w:rsidP="005C578E">
      <w:pPr>
        <w:pStyle w:val="ListParagraph"/>
        <w:rPr>
          <w:sz w:val="24"/>
          <w:szCs w:val="24"/>
        </w:rPr>
      </w:pPr>
    </w:p>
    <w:p w14:paraId="6EB9B126" w14:textId="77777777" w:rsidR="00435070" w:rsidRPr="00435070" w:rsidRDefault="00435070" w:rsidP="00435070">
      <w:pPr>
        <w:pStyle w:val="Heading3"/>
        <w:spacing w:before="480" w:after="240"/>
        <w:rPr>
          <w:rFonts w:ascii="Arial Bold" w:hAnsi="Arial Bold"/>
          <w:sz w:val="28"/>
        </w:rPr>
      </w:pPr>
      <w:r w:rsidRPr="00435070">
        <w:rPr>
          <w:rFonts w:ascii="Arial Bold" w:hAnsi="Arial Bold"/>
          <w:sz w:val="28"/>
        </w:rPr>
        <w:t>Council Priorities</w:t>
      </w:r>
    </w:p>
    <w:p w14:paraId="4AD16319" w14:textId="77777777" w:rsidR="00435070" w:rsidRPr="00CD57D8" w:rsidRDefault="00435070" w:rsidP="00435070">
      <w:pPr>
        <w:rPr>
          <w:rFonts w:cs="Arial"/>
          <w:szCs w:val="24"/>
          <w:lang w:val="en-US"/>
        </w:rPr>
      </w:pPr>
    </w:p>
    <w:p w14:paraId="5DD393BE" w14:textId="77777777" w:rsidR="00435070" w:rsidRDefault="00435070" w:rsidP="00435070">
      <w:pPr>
        <w:pStyle w:val="StyleListParagraphBold"/>
        <w:numPr>
          <w:ilvl w:val="0"/>
          <w:numId w:val="18"/>
        </w:numPr>
        <w:rPr>
          <w:lang w:eastAsia="en-US"/>
        </w:rPr>
      </w:pPr>
      <w:r w:rsidRPr="00752110">
        <w:t>A council that puts residents first</w:t>
      </w:r>
    </w:p>
    <w:p w14:paraId="18D7BBD0" w14:textId="77777777" w:rsidR="00435070" w:rsidRPr="00752110" w:rsidRDefault="00435070" w:rsidP="00435070">
      <w:pPr>
        <w:pStyle w:val="StyleListParagraphBold"/>
        <w:rPr>
          <w:lang w:eastAsia="en-US"/>
        </w:rPr>
      </w:pPr>
    </w:p>
    <w:p w14:paraId="274CE199" w14:textId="77777777" w:rsidR="00435070" w:rsidRDefault="00435070" w:rsidP="00435070">
      <w:pPr>
        <w:pStyle w:val="StyleListParagraphBold"/>
        <w:numPr>
          <w:ilvl w:val="0"/>
          <w:numId w:val="18"/>
        </w:numPr>
      </w:pPr>
      <w:r w:rsidRPr="00752110">
        <w:t>A borough that is clean and safe</w:t>
      </w:r>
    </w:p>
    <w:p w14:paraId="4B77658D" w14:textId="77777777" w:rsidR="00435070" w:rsidRPr="00752110" w:rsidRDefault="00435070" w:rsidP="00435070">
      <w:pPr>
        <w:pStyle w:val="StyleListParagraphBold"/>
        <w:ind w:left="0"/>
      </w:pPr>
    </w:p>
    <w:p w14:paraId="3E7FAA30" w14:textId="6F4CEAD7" w:rsidR="00435070" w:rsidRDefault="00435070" w:rsidP="00435070">
      <w:pPr>
        <w:pStyle w:val="StyleListParagraphBold"/>
        <w:numPr>
          <w:ilvl w:val="0"/>
          <w:numId w:val="18"/>
        </w:numPr>
      </w:pPr>
      <w:r w:rsidRPr="00752110">
        <w:t>A place where those in need are supported</w:t>
      </w:r>
    </w:p>
    <w:p w14:paraId="71386ED3" w14:textId="77777777" w:rsidR="00BA7171" w:rsidRDefault="00BA7171" w:rsidP="00BA7171">
      <w:pPr>
        <w:pStyle w:val="ListParagraph"/>
      </w:pP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0F045A89" w:rsidR="00912904" w:rsidRPr="00A66326" w:rsidRDefault="00912904" w:rsidP="00912904">
      <w:pPr>
        <w:rPr>
          <w:sz w:val="28"/>
        </w:rPr>
      </w:pPr>
      <w:r w:rsidRPr="00A66326">
        <w:rPr>
          <w:b/>
          <w:sz w:val="28"/>
        </w:rPr>
        <w:t xml:space="preserve">Statutory Officer:  </w:t>
      </w:r>
      <w:r w:rsidR="007D7504">
        <w:rPr>
          <w:b/>
          <w:sz w:val="28"/>
        </w:rPr>
        <w:t>Dawn Calvert</w:t>
      </w:r>
    </w:p>
    <w:p w14:paraId="57640BD9" w14:textId="35122C41" w:rsidR="00912904" w:rsidRPr="00A66326" w:rsidRDefault="00912904" w:rsidP="00912904">
      <w:r w:rsidRPr="00A66326">
        <w:t>Signed by the Chief Financial Officer</w:t>
      </w:r>
    </w:p>
    <w:p w14:paraId="5745A2E3" w14:textId="0D9DCDB6" w:rsidR="00912904" w:rsidRPr="00A66326" w:rsidRDefault="00912904" w:rsidP="00912904">
      <w:pPr>
        <w:spacing w:after="480"/>
        <w:rPr>
          <w:sz w:val="28"/>
        </w:rPr>
      </w:pPr>
      <w:r w:rsidRPr="00A66326">
        <w:rPr>
          <w:b/>
          <w:sz w:val="28"/>
        </w:rPr>
        <w:t xml:space="preserve">Date:  </w:t>
      </w:r>
      <w:r w:rsidR="00E23864">
        <w:rPr>
          <w:b/>
          <w:sz w:val="28"/>
        </w:rPr>
        <w:t>15/03/2023</w:t>
      </w:r>
    </w:p>
    <w:p w14:paraId="2586CC50" w14:textId="1506FA70" w:rsidR="00912904" w:rsidRPr="00A66326" w:rsidRDefault="00912904" w:rsidP="00912904">
      <w:pPr>
        <w:rPr>
          <w:sz w:val="28"/>
        </w:rPr>
      </w:pPr>
      <w:r w:rsidRPr="00A66326">
        <w:rPr>
          <w:b/>
          <w:sz w:val="28"/>
        </w:rPr>
        <w:t xml:space="preserve">Statutory Officer:  </w:t>
      </w:r>
      <w:r w:rsidR="00BA7171">
        <w:rPr>
          <w:b/>
          <w:sz w:val="28"/>
        </w:rPr>
        <w:t xml:space="preserve">Hugh Peart </w:t>
      </w:r>
    </w:p>
    <w:p w14:paraId="3F58D77A" w14:textId="4E26A511" w:rsidR="00912904" w:rsidRPr="00A66326" w:rsidRDefault="00912904" w:rsidP="00912904">
      <w:r w:rsidRPr="00A66326">
        <w:t>Signed</w:t>
      </w:r>
      <w:r w:rsidR="00BA7171" w:rsidRPr="00A66326">
        <w:t xml:space="preserve"> </w:t>
      </w:r>
      <w:r w:rsidRPr="00A66326">
        <w:t>by the Monitoring Officer</w:t>
      </w:r>
    </w:p>
    <w:p w14:paraId="61F8C7E6" w14:textId="1D01F627" w:rsidR="00912904" w:rsidRPr="003313EA" w:rsidRDefault="00912904" w:rsidP="00912904">
      <w:pPr>
        <w:spacing w:after="480"/>
        <w:rPr>
          <w:sz w:val="28"/>
        </w:rPr>
      </w:pPr>
      <w:r w:rsidRPr="00A66326">
        <w:rPr>
          <w:b/>
          <w:sz w:val="28"/>
        </w:rPr>
        <w:t xml:space="preserve">Date:  </w:t>
      </w:r>
      <w:r w:rsidR="00BA7171">
        <w:rPr>
          <w:b/>
          <w:sz w:val="28"/>
        </w:rPr>
        <w:t>27/02/2023</w:t>
      </w:r>
    </w:p>
    <w:p w14:paraId="2019A53D" w14:textId="58DEA79D" w:rsidR="00912904" w:rsidRPr="00A66326" w:rsidRDefault="004A4A1D" w:rsidP="00912904">
      <w:pPr>
        <w:rPr>
          <w:sz w:val="28"/>
        </w:rPr>
      </w:pPr>
      <w:r>
        <w:rPr>
          <w:b/>
          <w:sz w:val="28"/>
        </w:rPr>
        <w:t>Chief</w:t>
      </w:r>
      <w:r w:rsidR="00912904" w:rsidRPr="00A66326">
        <w:rPr>
          <w:b/>
          <w:sz w:val="28"/>
        </w:rPr>
        <w:t xml:space="preserve"> Officer:  </w:t>
      </w:r>
      <w:r w:rsidR="00811FA5">
        <w:rPr>
          <w:b/>
          <w:sz w:val="28"/>
        </w:rPr>
        <w:t xml:space="preserve">Patrick Flaherty </w:t>
      </w:r>
    </w:p>
    <w:p w14:paraId="12E4D11B" w14:textId="51B08780" w:rsidR="00912904" w:rsidRPr="00A66326" w:rsidRDefault="00365D29" w:rsidP="00912904">
      <w:r>
        <w:t>Signed</w:t>
      </w:r>
      <w:r w:rsidR="00912904" w:rsidRPr="00A66326">
        <w:t xml:space="preserve"> by the </w:t>
      </w:r>
      <w:r w:rsidR="00811FA5">
        <w:t>Chief Executive</w:t>
      </w:r>
    </w:p>
    <w:p w14:paraId="21482980" w14:textId="74225B8A" w:rsidR="00912904" w:rsidRPr="00A66326" w:rsidRDefault="00912904" w:rsidP="00912904">
      <w:pPr>
        <w:spacing w:after="480"/>
        <w:rPr>
          <w:sz w:val="28"/>
        </w:rPr>
      </w:pPr>
      <w:r w:rsidRPr="00A66326">
        <w:rPr>
          <w:b/>
          <w:sz w:val="28"/>
        </w:rPr>
        <w:t xml:space="preserve">Date:  </w:t>
      </w:r>
      <w:r w:rsidR="00811FA5">
        <w:rPr>
          <w:b/>
          <w:sz w:val="28"/>
        </w:rPr>
        <w:t>15/03/2023</w:t>
      </w:r>
    </w:p>
    <w:p w14:paraId="686CE5D8" w14:textId="77777777" w:rsidR="00912904" w:rsidRPr="00435B5D" w:rsidRDefault="00912904" w:rsidP="00912904">
      <w:pPr>
        <w:pStyle w:val="Heading2"/>
        <w:spacing w:after="240"/>
      </w:pPr>
      <w:r>
        <w:t>Mandatory Checks</w:t>
      </w:r>
    </w:p>
    <w:p w14:paraId="34BA8136" w14:textId="0C71A6FD" w:rsidR="00912904" w:rsidRPr="00E90AFF" w:rsidRDefault="00912904" w:rsidP="00E90AFF">
      <w:pPr>
        <w:pStyle w:val="Heading3"/>
        <w:ind w:left="0" w:firstLine="0"/>
        <w:rPr>
          <w:sz w:val="28"/>
        </w:rPr>
      </w:pPr>
      <w:r w:rsidRPr="00E90AFF">
        <w:rPr>
          <w:sz w:val="28"/>
        </w:rPr>
        <w:t xml:space="preserve">Ward Councillors notified:  NO, as it impacts on all Wards </w:t>
      </w:r>
    </w:p>
    <w:p w14:paraId="629F8205" w14:textId="77777777" w:rsidR="002A2389" w:rsidRDefault="002A2389" w:rsidP="00912904">
      <w:pPr>
        <w:pStyle w:val="Heading2"/>
        <w:keepNext/>
        <w:spacing w:after="240"/>
      </w:pPr>
      <w:r>
        <w:lastRenderedPageBreak/>
        <w:t>Section 4 - Contact Details and Background Papers</w:t>
      </w:r>
    </w:p>
    <w:p w14:paraId="1C4BF2D4" w14:textId="13B85FC8" w:rsidR="002A2389" w:rsidRDefault="002A2389">
      <w:pPr>
        <w:pStyle w:val="Infotext"/>
      </w:pPr>
      <w:r w:rsidRPr="00D914D2">
        <w:rPr>
          <w:b/>
        </w:rPr>
        <w:t>Contact:</w:t>
      </w:r>
      <w:r>
        <w:t xml:space="preserve">  </w:t>
      </w:r>
      <w:r w:rsidR="00E91FC2">
        <w:rPr>
          <w:rFonts w:cs="Arial"/>
          <w:sz w:val="24"/>
        </w:rPr>
        <w:t>Akhil Wilson</w:t>
      </w:r>
      <w:r>
        <w:rPr>
          <w:rFonts w:cs="Arial"/>
          <w:sz w:val="24"/>
        </w:rPr>
        <w:t xml:space="preserve">, </w:t>
      </w:r>
      <w:r w:rsidR="00E91FC2">
        <w:rPr>
          <w:rFonts w:cs="Arial"/>
          <w:sz w:val="24"/>
        </w:rPr>
        <w:t>Head of Resourcing</w:t>
      </w:r>
      <w:r>
        <w:rPr>
          <w:rFonts w:cs="Arial"/>
          <w:sz w:val="24"/>
        </w:rPr>
        <w:t xml:space="preserve">, </w:t>
      </w:r>
      <w:r w:rsidR="00566EC3">
        <w:rPr>
          <w:rFonts w:cs="Arial"/>
          <w:sz w:val="24"/>
        </w:rPr>
        <w:t>Akhil.wilson@harrow.gov.uk</w:t>
      </w:r>
    </w:p>
    <w:p w14:paraId="66B97570" w14:textId="27DBE0A4" w:rsidR="00BA7171" w:rsidRPr="004939A4" w:rsidRDefault="002A2389" w:rsidP="00912904">
      <w:pPr>
        <w:pStyle w:val="Infotext"/>
        <w:spacing w:before="360"/>
        <w:rPr>
          <w:rFonts w:cs="Arial"/>
          <w:sz w:val="24"/>
        </w:rPr>
      </w:pPr>
      <w:r w:rsidRPr="00D914D2">
        <w:rPr>
          <w:b/>
        </w:rPr>
        <w:t>Background Papers</w:t>
      </w:r>
      <w:r>
        <w:t xml:space="preserve">:  </w:t>
      </w:r>
      <w:r w:rsidR="007D7504">
        <w:rPr>
          <w:rFonts w:cs="Arial"/>
          <w:sz w:val="24"/>
        </w:rPr>
        <w:t>None</w:t>
      </w:r>
    </w:p>
    <w:p w14:paraId="6D64D64B" w14:textId="77777777" w:rsidR="002A2389" w:rsidRDefault="002A2389" w:rsidP="00912904">
      <w:pPr>
        <w:pStyle w:val="Infotext"/>
        <w:spacing w:before="360" w:after="240"/>
      </w:pPr>
      <w:r>
        <w:t xml:space="preserve">If appropriate, does the report include the following considerations? </w:t>
      </w:r>
    </w:p>
    <w:p w14:paraId="507DF23B" w14:textId="3C6CC06E" w:rsidR="00912904" w:rsidRDefault="00912904">
      <w:pPr>
        <w:pStyle w:val="Infotext"/>
        <w:tabs>
          <w:tab w:val="left" w:pos="656"/>
          <w:tab w:val="left" w:pos="6399"/>
        </w:tabs>
      </w:pPr>
      <w:r>
        <w:t>1.</w:t>
      </w:r>
      <w:r>
        <w:tab/>
        <w:t xml:space="preserve">Consultation </w:t>
      </w:r>
      <w:r>
        <w:tab/>
        <w:t>NO</w:t>
      </w:r>
    </w:p>
    <w:p w14:paraId="0AC2AC5C" w14:textId="1B156CE3" w:rsidR="00912904" w:rsidRDefault="00912904">
      <w:pPr>
        <w:pStyle w:val="Infotext"/>
        <w:tabs>
          <w:tab w:val="left" w:pos="656"/>
          <w:tab w:val="left" w:pos="6399"/>
        </w:tabs>
      </w:pPr>
      <w:r>
        <w:t>2.</w:t>
      </w:r>
      <w:r>
        <w:tab/>
        <w:t>Priorities</w:t>
      </w:r>
      <w:r>
        <w:tab/>
        <w:t xml:space="preserve">NO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06A16"/>
    <w:multiLevelType w:val="hybridMultilevel"/>
    <w:tmpl w:val="0270B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0095D50"/>
    <w:multiLevelType w:val="multilevel"/>
    <w:tmpl w:val="24F04E8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55B2D"/>
    <w:multiLevelType w:val="hybridMultilevel"/>
    <w:tmpl w:val="44FC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D1DDD"/>
    <w:multiLevelType w:val="hybridMultilevel"/>
    <w:tmpl w:val="DC2050E4"/>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8353412">
    <w:abstractNumId w:val="19"/>
  </w:num>
  <w:num w:numId="2" w16cid:durableId="1599755944">
    <w:abstractNumId w:val="13"/>
  </w:num>
  <w:num w:numId="3" w16cid:durableId="1456824537">
    <w:abstractNumId w:val="18"/>
  </w:num>
  <w:num w:numId="4" w16cid:durableId="1323893841">
    <w:abstractNumId w:val="1"/>
  </w:num>
  <w:num w:numId="5" w16cid:durableId="17089851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3002480">
    <w:abstractNumId w:val="7"/>
  </w:num>
  <w:num w:numId="7" w16cid:durableId="1167744154">
    <w:abstractNumId w:val="8"/>
  </w:num>
  <w:num w:numId="8" w16cid:durableId="2114208043">
    <w:abstractNumId w:val="4"/>
  </w:num>
  <w:num w:numId="9" w16cid:durableId="391274765">
    <w:abstractNumId w:val="3"/>
  </w:num>
  <w:num w:numId="10" w16cid:durableId="602686649">
    <w:abstractNumId w:val="17"/>
  </w:num>
  <w:num w:numId="11" w16cid:durableId="588734528">
    <w:abstractNumId w:val="21"/>
  </w:num>
  <w:num w:numId="12" w16cid:durableId="1879002370">
    <w:abstractNumId w:val="14"/>
  </w:num>
  <w:num w:numId="13" w16cid:durableId="260534998">
    <w:abstractNumId w:val="2"/>
  </w:num>
  <w:num w:numId="14" w16cid:durableId="283581281">
    <w:abstractNumId w:val="6"/>
  </w:num>
  <w:num w:numId="15" w16cid:durableId="825558067">
    <w:abstractNumId w:val="12"/>
  </w:num>
  <w:num w:numId="16" w16cid:durableId="597493302">
    <w:abstractNumId w:val="10"/>
  </w:num>
  <w:num w:numId="17" w16cid:durableId="313066667">
    <w:abstractNumId w:val="20"/>
  </w:num>
  <w:num w:numId="18" w16cid:durableId="391075895">
    <w:abstractNumId w:val="11"/>
  </w:num>
  <w:num w:numId="19" w16cid:durableId="415788254">
    <w:abstractNumId w:val="5"/>
  </w:num>
  <w:num w:numId="20" w16cid:durableId="247274151">
    <w:abstractNumId w:val="9"/>
  </w:num>
  <w:num w:numId="21" w16cid:durableId="122508279">
    <w:abstractNumId w:val="16"/>
  </w:num>
  <w:num w:numId="22" w16cid:durableId="219676774">
    <w:abstractNumId w:val="0"/>
  </w:num>
  <w:num w:numId="23" w16cid:durableId="21429187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A58A1"/>
    <w:rsid w:val="000A6659"/>
    <w:rsid w:val="000B0E6F"/>
    <w:rsid w:val="000B6DBB"/>
    <w:rsid w:val="000D2BF2"/>
    <w:rsid w:val="000D5870"/>
    <w:rsid w:val="000F65C0"/>
    <w:rsid w:val="001939BA"/>
    <w:rsid w:val="001A6EB0"/>
    <w:rsid w:val="001B441D"/>
    <w:rsid w:val="001C5225"/>
    <w:rsid w:val="001E0219"/>
    <w:rsid w:val="00213BE7"/>
    <w:rsid w:val="00231A1D"/>
    <w:rsid w:val="00244120"/>
    <w:rsid w:val="00293F9F"/>
    <w:rsid w:val="002A2389"/>
    <w:rsid w:val="002C08E2"/>
    <w:rsid w:val="002C1794"/>
    <w:rsid w:val="002D2FC5"/>
    <w:rsid w:val="002E6637"/>
    <w:rsid w:val="002E77E3"/>
    <w:rsid w:val="00332947"/>
    <w:rsid w:val="00333EB4"/>
    <w:rsid w:val="003367A7"/>
    <w:rsid w:val="00345915"/>
    <w:rsid w:val="00365D29"/>
    <w:rsid w:val="00374F22"/>
    <w:rsid w:val="003B0130"/>
    <w:rsid w:val="003D2FFE"/>
    <w:rsid w:val="003E7136"/>
    <w:rsid w:val="00400032"/>
    <w:rsid w:val="0042394B"/>
    <w:rsid w:val="00435070"/>
    <w:rsid w:val="00473B08"/>
    <w:rsid w:val="00474B5F"/>
    <w:rsid w:val="004865F0"/>
    <w:rsid w:val="004939A4"/>
    <w:rsid w:val="004A3CE6"/>
    <w:rsid w:val="004A4A1D"/>
    <w:rsid w:val="004B2C9D"/>
    <w:rsid w:val="004B4A47"/>
    <w:rsid w:val="004E667D"/>
    <w:rsid w:val="004E6AF9"/>
    <w:rsid w:val="005031DF"/>
    <w:rsid w:val="00512BD9"/>
    <w:rsid w:val="00513E20"/>
    <w:rsid w:val="0053008A"/>
    <w:rsid w:val="00566EC3"/>
    <w:rsid w:val="00570F59"/>
    <w:rsid w:val="005753AC"/>
    <w:rsid w:val="00597314"/>
    <w:rsid w:val="005A61AF"/>
    <w:rsid w:val="005C578E"/>
    <w:rsid w:val="005C627B"/>
    <w:rsid w:val="005D0886"/>
    <w:rsid w:val="005E384D"/>
    <w:rsid w:val="005F2181"/>
    <w:rsid w:val="005F724B"/>
    <w:rsid w:val="00625DFF"/>
    <w:rsid w:val="0063072B"/>
    <w:rsid w:val="00662891"/>
    <w:rsid w:val="006628B7"/>
    <w:rsid w:val="00675FCB"/>
    <w:rsid w:val="006A0B87"/>
    <w:rsid w:val="006B3942"/>
    <w:rsid w:val="006C0394"/>
    <w:rsid w:val="006C3914"/>
    <w:rsid w:val="006D3648"/>
    <w:rsid w:val="0074184E"/>
    <w:rsid w:val="00743829"/>
    <w:rsid w:val="00755F8D"/>
    <w:rsid w:val="00796503"/>
    <w:rsid w:val="007D2BDA"/>
    <w:rsid w:val="007D56C8"/>
    <w:rsid w:val="007D7504"/>
    <w:rsid w:val="007E3934"/>
    <w:rsid w:val="007E7303"/>
    <w:rsid w:val="00804B7F"/>
    <w:rsid w:val="00811FA5"/>
    <w:rsid w:val="008212A0"/>
    <w:rsid w:val="00837F53"/>
    <w:rsid w:val="008722E0"/>
    <w:rsid w:val="008D1750"/>
    <w:rsid w:val="008D7800"/>
    <w:rsid w:val="008E2910"/>
    <w:rsid w:val="008E4913"/>
    <w:rsid w:val="00900464"/>
    <w:rsid w:val="0090100E"/>
    <w:rsid w:val="00912904"/>
    <w:rsid w:val="0093767E"/>
    <w:rsid w:val="00972A02"/>
    <w:rsid w:val="0099517C"/>
    <w:rsid w:val="009A0937"/>
    <w:rsid w:val="009B2ECD"/>
    <w:rsid w:val="009B7914"/>
    <w:rsid w:val="009F430B"/>
    <w:rsid w:val="00A160B2"/>
    <w:rsid w:val="00A566E7"/>
    <w:rsid w:val="00A940D3"/>
    <w:rsid w:val="00A96FCA"/>
    <w:rsid w:val="00AA0407"/>
    <w:rsid w:val="00AA4BE8"/>
    <w:rsid w:val="00AA7805"/>
    <w:rsid w:val="00AC0AAB"/>
    <w:rsid w:val="00AC7BA9"/>
    <w:rsid w:val="00B0425E"/>
    <w:rsid w:val="00B900E2"/>
    <w:rsid w:val="00B9118E"/>
    <w:rsid w:val="00BA35EA"/>
    <w:rsid w:val="00BA7171"/>
    <w:rsid w:val="00BB7B57"/>
    <w:rsid w:val="00BD6115"/>
    <w:rsid w:val="00BD684A"/>
    <w:rsid w:val="00C00B84"/>
    <w:rsid w:val="00C32DAE"/>
    <w:rsid w:val="00C40E24"/>
    <w:rsid w:val="00C61B80"/>
    <w:rsid w:val="00C92D9A"/>
    <w:rsid w:val="00C96EF5"/>
    <w:rsid w:val="00D25064"/>
    <w:rsid w:val="00D32B51"/>
    <w:rsid w:val="00D34668"/>
    <w:rsid w:val="00D3740E"/>
    <w:rsid w:val="00D40335"/>
    <w:rsid w:val="00D82F57"/>
    <w:rsid w:val="00D841A5"/>
    <w:rsid w:val="00D914D2"/>
    <w:rsid w:val="00DA25DB"/>
    <w:rsid w:val="00DB0791"/>
    <w:rsid w:val="00DD4251"/>
    <w:rsid w:val="00E02B50"/>
    <w:rsid w:val="00E03F11"/>
    <w:rsid w:val="00E06DC8"/>
    <w:rsid w:val="00E220B5"/>
    <w:rsid w:val="00E23864"/>
    <w:rsid w:val="00E33D93"/>
    <w:rsid w:val="00E609EF"/>
    <w:rsid w:val="00E83B86"/>
    <w:rsid w:val="00E8515B"/>
    <w:rsid w:val="00E90AFF"/>
    <w:rsid w:val="00E91FC2"/>
    <w:rsid w:val="00EF2F91"/>
    <w:rsid w:val="00F33EE3"/>
    <w:rsid w:val="00F4213B"/>
    <w:rsid w:val="00F849ED"/>
    <w:rsid w:val="00F92398"/>
    <w:rsid w:val="00FD31A0"/>
    <w:rsid w:val="00FD4EB4"/>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1"/>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paragraph" w:customStyle="1" w:styleId="StyleListParagraphBold">
    <w:name w:val="Style List Paragraph + Bold"/>
    <w:basedOn w:val="ListParagraph"/>
    <w:rsid w:val="00435070"/>
    <w:rPr>
      <w:b/>
      <w:bCs/>
      <w:sz w:val="24"/>
    </w:rPr>
  </w:style>
  <w:style w:type="character" w:styleId="CommentReference">
    <w:name w:val="annotation reference"/>
    <w:basedOn w:val="DefaultParagraphFont"/>
    <w:semiHidden/>
    <w:unhideWhenUsed/>
    <w:rsid w:val="008722E0"/>
    <w:rPr>
      <w:sz w:val="16"/>
      <w:szCs w:val="16"/>
    </w:rPr>
  </w:style>
  <w:style w:type="paragraph" w:styleId="CommentText">
    <w:name w:val="annotation text"/>
    <w:basedOn w:val="Normal"/>
    <w:link w:val="CommentTextChar"/>
    <w:semiHidden/>
    <w:unhideWhenUsed/>
    <w:rsid w:val="008722E0"/>
    <w:rPr>
      <w:sz w:val="20"/>
    </w:rPr>
  </w:style>
  <w:style w:type="character" w:customStyle="1" w:styleId="CommentTextChar">
    <w:name w:val="Comment Text Char"/>
    <w:basedOn w:val="DefaultParagraphFont"/>
    <w:link w:val="CommentText"/>
    <w:semiHidden/>
    <w:rsid w:val="008722E0"/>
    <w:rPr>
      <w:rFonts w:ascii="Arial" w:hAnsi="Arial"/>
      <w:lang w:eastAsia="en-US"/>
    </w:rPr>
  </w:style>
  <w:style w:type="paragraph" w:styleId="Revision">
    <w:name w:val="Revision"/>
    <w:hidden/>
    <w:uiPriority w:val="99"/>
    <w:semiHidden/>
    <w:rsid w:val="0053008A"/>
    <w:rPr>
      <w:rFonts w:ascii="Arial" w:hAnsi="Arial"/>
      <w:sz w:val="24"/>
      <w:lang w:eastAsia="en-US"/>
    </w:rPr>
  </w:style>
  <w:style w:type="paragraph" w:styleId="CommentSubject">
    <w:name w:val="annotation subject"/>
    <w:basedOn w:val="CommentText"/>
    <w:next w:val="CommentText"/>
    <w:link w:val="CommentSubjectChar"/>
    <w:semiHidden/>
    <w:unhideWhenUsed/>
    <w:rsid w:val="007D7504"/>
    <w:rPr>
      <w:b/>
      <w:bCs/>
    </w:rPr>
  </w:style>
  <w:style w:type="character" w:customStyle="1" w:styleId="CommentSubjectChar">
    <w:name w:val="Comment Subject Char"/>
    <w:basedOn w:val="CommentTextChar"/>
    <w:link w:val="CommentSubject"/>
    <w:semiHidden/>
    <w:rsid w:val="007D750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833</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5592</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3</cp:revision>
  <cp:lastPrinted>2023-03-22T10:02:00Z</cp:lastPrinted>
  <dcterms:created xsi:type="dcterms:W3CDTF">2023-03-22T14:22:00Z</dcterms:created>
  <dcterms:modified xsi:type="dcterms:W3CDTF">2023-03-22T14:29:00Z</dcterms:modified>
</cp:coreProperties>
</file>